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511" w:rsidRPr="00C11511" w:rsidRDefault="004C7E4E" w:rsidP="00C11511">
      <w:pPr>
        <w:pStyle w:val="a3"/>
        <w:shd w:val="clear" w:color="auto" w:fill="FFFFFF"/>
        <w:jc w:val="center"/>
        <w:rPr>
          <w:rFonts w:ascii="Roboto" w:hAnsi="Roboto"/>
          <w:b/>
          <w:color w:val="020B22"/>
          <w:sz w:val="20"/>
          <w:szCs w:val="20"/>
        </w:rPr>
      </w:pPr>
      <w:r w:rsidRPr="004C7E4E">
        <w:rPr>
          <w:rFonts w:ascii="Roboto" w:hAnsi="Roboto"/>
          <w:b/>
          <w:color w:val="020B22"/>
          <w:sz w:val="20"/>
          <w:szCs w:val="20"/>
        </w:rPr>
        <w:t>Ростовская область предоставляет широкий спектр мер поддержки промышленным предприятиям</w:t>
      </w:r>
    </w:p>
    <w:p w:rsidR="004C7E4E" w:rsidRDefault="004C7E4E" w:rsidP="004C7E4E">
      <w:pPr>
        <w:pStyle w:val="a3"/>
        <w:shd w:val="clear" w:color="auto" w:fill="FFFFFF"/>
        <w:rPr>
          <w:rFonts w:ascii="Roboto" w:hAnsi="Roboto"/>
          <w:color w:val="020B22"/>
          <w:sz w:val="20"/>
          <w:szCs w:val="20"/>
        </w:rPr>
      </w:pPr>
      <w:r>
        <w:rPr>
          <w:rFonts w:ascii="Roboto" w:hAnsi="Roboto"/>
          <w:color w:val="020B22"/>
          <w:sz w:val="20"/>
          <w:szCs w:val="20"/>
        </w:rPr>
        <w:t>Ростовская область активно поддерживает развитие промышленного сектора, предоставляя предприятиям широкий спектр преференций и льгот. Об этом рассказал заместитель губернатора Игорь Сорокин.</w:t>
      </w:r>
    </w:p>
    <w:p w:rsidR="004C7E4E" w:rsidRDefault="004C7E4E" w:rsidP="004C7E4E">
      <w:pPr>
        <w:pStyle w:val="a3"/>
        <w:shd w:val="clear" w:color="auto" w:fill="FFFFFF"/>
        <w:rPr>
          <w:rFonts w:ascii="Roboto" w:hAnsi="Roboto"/>
          <w:color w:val="020B22"/>
          <w:sz w:val="20"/>
          <w:szCs w:val="20"/>
        </w:rPr>
      </w:pPr>
      <w:r>
        <w:rPr>
          <w:rFonts w:ascii="Roboto" w:hAnsi="Roboto"/>
          <w:color w:val="020B22"/>
          <w:sz w:val="20"/>
          <w:szCs w:val="20"/>
        </w:rPr>
        <w:t>По его словам, на Дону используются как региональные, так и федеральные инструменты поддержки, обеспечивая максимально благоприятные условия для инвестиций и развития бизнеса.</w:t>
      </w:r>
    </w:p>
    <w:p w:rsidR="004C7E4E" w:rsidRDefault="004C7E4E" w:rsidP="004C7E4E">
      <w:pPr>
        <w:pStyle w:val="a3"/>
        <w:shd w:val="clear" w:color="auto" w:fill="FFFFFF"/>
        <w:rPr>
          <w:rFonts w:ascii="Roboto" w:hAnsi="Roboto"/>
          <w:color w:val="020B22"/>
          <w:sz w:val="20"/>
          <w:szCs w:val="20"/>
        </w:rPr>
      </w:pPr>
      <w:r>
        <w:rPr>
          <w:rFonts w:ascii="Roboto" w:hAnsi="Roboto"/>
          <w:color w:val="020B22"/>
          <w:sz w:val="20"/>
          <w:szCs w:val="20"/>
        </w:rPr>
        <w:t>Действующие льготы включают снижение налогов на прибыль и имущество в рамках инвестиционных соглашений. С 1 января 2024 года введена новая форма поддержки региональных инвестиционных проектов (РИП), позволяющая снизить налог на прибыль до 10%. Одним из крупнейших проектов, получивших поддержку по этой программе, является модернизация тракторного завода.</w:t>
      </w:r>
    </w:p>
    <w:p w:rsidR="004C7E4E" w:rsidRDefault="004C7E4E" w:rsidP="004C7E4E">
      <w:pPr>
        <w:pStyle w:val="a3"/>
        <w:shd w:val="clear" w:color="auto" w:fill="FFFFFF"/>
        <w:rPr>
          <w:rFonts w:ascii="Roboto" w:hAnsi="Roboto"/>
          <w:color w:val="020B22"/>
          <w:sz w:val="20"/>
          <w:szCs w:val="20"/>
        </w:rPr>
      </w:pPr>
      <w:r>
        <w:rPr>
          <w:rFonts w:ascii="Roboto" w:hAnsi="Roboto"/>
          <w:color w:val="020B22"/>
          <w:sz w:val="20"/>
          <w:szCs w:val="20"/>
        </w:rPr>
        <w:t xml:space="preserve">- Правительство области активно использует соглашения о защите и поощрении капиталовложений (СЗПК). В частности, заключено два федеральных соглашения с </w:t>
      </w:r>
      <w:proofErr w:type="spellStart"/>
      <w:r>
        <w:rPr>
          <w:rFonts w:ascii="Roboto" w:hAnsi="Roboto"/>
          <w:color w:val="020B22"/>
          <w:sz w:val="20"/>
          <w:szCs w:val="20"/>
        </w:rPr>
        <w:t>Новошахтинским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заводом нефтепродуктов. Кроме того, предоставляется компенсация затрат на банковские кредиты и на подключение к инженерным сетям, - подчеркнул </w:t>
      </w:r>
      <w:proofErr w:type="spellStart"/>
      <w:r>
        <w:rPr>
          <w:rFonts w:ascii="Roboto" w:hAnsi="Roboto"/>
          <w:color w:val="020B22"/>
          <w:sz w:val="20"/>
          <w:szCs w:val="20"/>
        </w:rPr>
        <w:t>замглавы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региона. </w:t>
      </w:r>
      <w:proofErr w:type="gramStart"/>
      <w:r>
        <w:rPr>
          <w:rFonts w:ascii="Roboto" w:hAnsi="Roboto"/>
          <w:color w:val="020B22"/>
          <w:sz w:val="20"/>
          <w:szCs w:val="20"/>
        </w:rPr>
        <w:t>-З</w:t>
      </w:r>
      <w:proofErr w:type="gramEnd"/>
      <w:r>
        <w:rPr>
          <w:rFonts w:ascii="Roboto" w:hAnsi="Roboto"/>
          <w:color w:val="020B22"/>
          <w:sz w:val="20"/>
          <w:szCs w:val="20"/>
        </w:rPr>
        <w:t xml:space="preserve">начительно выросло число получателей инвестиционного налогового вычета, преимущественно за счет участников нацпроекта «Повышение производительности труда». В 2024 году этой мерой поддержки воспользовались 64 организации, получив около 911,8 </w:t>
      </w:r>
      <w:proofErr w:type="spellStart"/>
      <w:proofErr w:type="gramStart"/>
      <w:r>
        <w:rPr>
          <w:rFonts w:ascii="Roboto" w:hAnsi="Roboto"/>
          <w:color w:val="020B22"/>
          <w:sz w:val="20"/>
          <w:szCs w:val="20"/>
        </w:rPr>
        <w:t>млн</w:t>
      </w:r>
      <w:proofErr w:type="spellEnd"/>
      <w:proofErr w:type="gramEnd"/>
      <w:r>
        <w:rPr>
          <w:rFonts w:ascii="Roboto" w:hAnsi="Roboto"/>
          <w:color w:val="020B22"/>
          <w:sz w:val="20"/>
          <w:szCs w:val="20"/>
        </w:rPr>
        <w:t xml:space="preserve"> рублей. Отмечу: все инвестиционные проекты, а их более 200, сопровождаются в индивидуальном порядке.</w:t>
      </w:r>
    </w:p>
    <w:p w:rsidR="004C7E4E" w:rsidRDefault="004C7E4E" w:rsidP="004C7E4E">
      <w:pPr>
        <w:pStyle w:val="a3"/>
        <w:shd w:val="clear" w:color="auto" w:fill="FFFFFF"/>
        <w:rPr>
          <w:rFonts w:ascii="Roboto" w:hAnsi="Roboto"/>
          <w:color w:val="020B22"/>
          <w:sz w:val="20"/>
          <w:szCs w:val="20"/>
        </w:rPr>
      </w:pPr>
      <w:r>
        <w:rPr>
          <w:rFonts w:ascii="Roboto" w:hAnsi="Roboto"/>
          <w:color w:val="020B22"/>
          <w:sz w:val="20"/>
          <w:szCs w:val="20"/>
        </w:rPr>
        <w:t xml:space="preserve">Региональный фонд развития промышленности предоставляет льготные займы по ставкам от 1% до 5% годовых для реализации перспективных проектов, в том числе импортозамещающих. В настоящее время капитализация фонда превышает 1,6 </w:t>
      </w:r>
      <w:proofErr w:type="spellStart"/>
      <w:proofErr w:type="gramStart"/>
      <w:r>
        <w:rPr>
          <w:rFonts w:ascii="Roboto" w:hAnsi="Roboto"/>
          <w:color w:val="020B22"/>
          <w:sz w:val="20"/>
          <w:szCs w:val="20"/>
        </w:rPr>
        <w:t>млрд</w:t>
      </w:r>
      <w:proofErr w:type="spellEnd"/>
      <w:proofErr w:type="gramEnd"/>
      <w:r>
        <w:rPr>
          <w:rFonts w:ascii="Roboto" w:hAnsi="Roboto"/>
          <w:color w:val="020B22"/>
          <w:sz w:val="20"/>
          <w:szCs w:val="20"/>
        </w:rPr>
        <w:t xml:space="preserve"> рублей, с начала года поддержано 20 проектов на сумму 524 </w:t>
      </w:r>
      <w:proofErr w:type="spellStart"/>
      <w:r>
        <w:rPr>
          <w:rFonts w:ascii="Roboto" w:hAnsi="Roboto"/>
          <w:color w:val="020B22"/>
          <w:sz w:val="20"/>
          <w:szCs w:val="20"/>
        </w:rPr>
        <w:t>млн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рублей. За весь период работы фондом выдано 136 займов на общую сумму 3,048 </w:t>
      </w:r>
      <w:proofErr w:type="spellStart"/>
      <w:proofErr w:type="gramStart"/>
      <w:r>
        <w:rPr>
          <w:rFonts w:ascii="Roboto" w:hAnsi="Roboto"/>
          <w:color w:val="020B22"/>
          <w:sz w:val="20"/>
          <w:szCs w:val="20"/>
        </w:rPr>
        <w:t>млрд</w:t>
      </w:r>
      <w:proofErr w:type="spellEnd"/>
      <w:proofErr w:type="gramEnd"/>
      <w:r>
        <w:rPr>
          <w:rFonts w:ascii="Roboto" w:hAnsi="Roboto"/>
          <w:color w:val="020B22"/>
          <w:sz w:val="20"/>
          <w:szCs w:val="20"/>
        </w:rPr>
        <w:t xml:space="preserve"> рублей.</w:t>
      </w:r>
    </w:p>
    <w:p w:rsidR="004C7E4E" w:rsidRDefault="004C7E4E" w:rsidP="004C7E4E">
      <w:pPr>
        <w:pStyle w:val="a3"/>
        <w:shd w:val="clear" w:color="auto" w:fill="FFFFFF"/>
        <w:rPr>
          <w:rFonts w:ascii="Roboto" w:hAnsi="Roboto"/>
          <w:color w:val="020B22"/>
          <w:sz w:val="20"/>
          <w:szCs w:val="20"/>
        </w:rPr>
      </w:pPr>
      <w:r>
        <w:rPr>
          <w:rFonts w:ascii="Roboto" w:hAnsi="Roboto"/>
          <w:color w:val="020B22"/>
          <w:sz w:val="20"/>
          <w:szCs w:val="20"/>
        </w:rPr>
        <w:t xml:space="preserve">- Всего же за последние пять лет промышленными компаниями получено более 10 </w:t>
      </w:r>
      <w:proofErr w:type="spellStart"/>
      <w:proofErr w:type="gramStart"/>
      <w:r>
        <w:rPr>
          <w:rFonts w:ascii="Roboto" w:hAnsi="Roboto"/>
          <w:color w:val="020B22"/>
          <w:sz w:val="20"/>
          <w:szCs w:val="20"/>
        </w:rPr>
        <w:t>млрд</w:t>
      </w:r>
      <w:proofErr w:type="spellEnd"/>
      <w:proofErr w:type="gramEnd"/>
      <w:r>
        <w:rPr>
          <w:rFonts w:ascii="Roboto" w:hAnsi="Roboto"/>
          <w:color w:val="020B22"/>
          <w:sz w:val="20"/>
          <w:szCs w:val="20"/>
        </w:rPr>
        <w:t xml:space="preserve"> рублей региональной поддержки, 2 </w:t>
      </w:r>
      <w:proofErr w:type="spellStart"/>
      <w:r>
        <w:rPr>
          <w:rFonts w:ascii="Roboto" w:hAnsi="Roboto"/>
          <w:color w:val="020B22"/>
          <w:sz w:val="20"/>
          <w:szCs w:val="20"/>
        </w:rPr>
        <w:t>млрд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– только с начала этого года. Привлечено почти 94 </w:t>
      </w:r>
      <w:proofErr w:type="spellStart"/>
      <w:proofErr w:type="gramStart"/>
      <w:r>
        <w:rPr>
          <w:rFonts w:ascii="Roboto" w:hAnsi="Roboto"/>
          <w:color w:val="020B22"/>
          <w:sz w:val="20"/>
          <w:szCs w:val="20"/>
        </w:rPr>
        <w:t>млрд</w:t>
      </w:r>
      <w:proofErr w:type="spellEnd"/>
      <w:proofErr w:type="gramEnd"/>
      <w:r>
        <w:rPr>
          <w:rFonts w:ascii="Roboto" w:hAnsi="Roboto"/>
          <w:color w:val="020B22"/>
          <w:sz w:val="20"/>
          <w:szCs w:val="20"/>
        </w:rPr>
        <w:t xml:space="preserve"> рублей федеральных средств (включая 24,3 </w:t>
      </w:r>
      <w:proofErr w:type="spellStart"/>
      <w:r>
        <w:rPr>
          <w:rFonts w:ascii="Roboto" w:hAnsi="Roboto"/>
          <w:color w:val="020B22"/>
          <w:sz w:val="20"/>
          <w:szCs w:val="20"/>
        </w:rPr>
        <w:t>млрд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рублей займов ФРП) за последние пять лет, а с начала 2024 года — более 10 </w:t>
      </w:r>
      <w:proofErr w:type="spellStart"/>
      <w:r>
        <w:rPr>
          <w:rFonts w:ascii="Roboto" w:hAnsi="Roboto"/>
          <w:color w:val="020B22"/>
          <w:sz w:val="20"/>
          <w:szCs w:val="20"/>
        </w:rPr>
        <w:t>млрд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рублей, - отметил </w:t>
      </w:r>
      <w:proofErr w:type="spellStart"/>
      <w:r>
        <w:rPr>
          <w:rFonts w:ascii="Roboto" w:hAnsi="Roboto"/>
          <w:color w:val="020B22"/>
          <w:sz w:val="20"/>
          <w:szCs w:val="20"/>
        </w:rPr>
        <w:t>замглавы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региона. – На Дону действует широкое преференциальное меню, максимально использующее ресурсы федерального уровня. Мы оперативно доводим до предприятий информацию о новых формах поддержки, оказываем содействие в установлении контактов и, при необходимости, корректируем нормативную базу».</w:t>
      </w:r>
    </w:p>
    <w:p w:rsidR="00B5763D" w:rsidRDefault="00B5763D"/>
    <w:sectPr w:rsidR="00B5763D" w:rsidSect="00B57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11511"/>
    <w:rsid w:val="004C7E4E"/>
    <w:rsid w:val="00B5763D"/>
    <w:rsid w:val="00C115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1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1151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00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434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31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5427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4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370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2024-12-20T07:18:00Z</dcterms:created>
  <dcterms:modified xsi:type="dcterms:W3CDTF">2024-12-20T07:18:00Z</dcterms:modified>
</cp:coreProperties>
</file>